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4E9C" w14:textId="6B20E4A6" w:rsidR="00BD539D" w:rsidRPr="00B3719C" w:rsidRDefault="00BD539D" w:rsidP="00BD539D">
      <w:pPr>
        <w:spacing w:line="360" w:lineRule="auto"/>
        <w:ind w:firstLine="2"/>
        <w:jc w:val="center"/>
        <w:rPr>
          <w:rFonts w:asciiTheme="majorHAnsi" w:hAnsiTheme="majorHAnsi"/>
          <w:b/>
          <w:bCs/>
          <w:sz w:val="36"/>
          <w:szCs w:val="36"/>
          <w:lang w:val="en-GB"/>
        </w:rPr>
      </w:pPr>
      <w:bookmarkStart w:id="0" w:name="_GoBack"/>
      <w:bookmarkEnd w:id="0"/>
      <w:r w:rsidRPr="00B3719C">
        <w:rPr>
          <w:rFonts w:asciiTheme="majorHAnsi" w:hAnsiTheme="majorHAnsi"/>
          <w:b/>
          <w:bCs/>
          <w:sz w:val="36"/>
          <w:szCs w:val="36"/>
          <w:lang w:val="en-GB"/>
        </w:rPr>
        <w:t>MASTER</w:t>
      </w:r>
      <w:r w:rsidR="009113E4">
        <w:rPr>
          <w:rFonts w:asciiTheme="majorHAnsi" w:hAnsiTheme="majorHAnsi"/>
          <w:b/>
          <w:bCs/>
          <w:sz w:val="36"/>
          <w:szCs w:val="36"/>
          <w:lang w:val="en-GB"/>
        </w:rPr>
        <w:t>S</w:t>
      </w:r>
      <w:r w:rsidR="0008456B">
        <w:rPr>
          <w:rFonts w:asciiTheme="majorHAnsi" w:hAnsiTheme="majorHAnsi"/>
          <w:b/>
          <w:bCs/>
          <w:sz w:val="36"/>
          <w:szCs w:val="36"/>
          <w:lang w:val="en-GB"/>
        </w:rPr>
        <w:t xml:space="preserve"> </w:t>
      </w:r>
      <w:r w:rsidRPr="00B3719C">
        <w:rPr>
          <w:rFonts w:asciiTheme="majorHAnsi" w:hAnsiTheme="majorHAnsi"/>
          <w:b/>
          <w:bCs/>
          <w:sz w:val="36"/>
          <w:szCs w:val="36"/>
          <w:lang w:val="en-GB"/>
        </w:rPr>
        <w:t>TRAINEESHIP PROTOCOL</w:t>
      </w:r>
    </w:p>
    <w:p w14:paraId="027BAD7A" w14:textId="77777777" w:rsidR="00BD539D" w:rsidRPr="00B3719C" w:rsidRDefault="00BD539D" w:rsidP="00BD539D">
      <w:pPr>
        <w:spacing w:after="120" w:line="360" w:lineRule="auto"/>
        <w:ind w:firstLine="2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</w:p>
    <w:p w14:paraId="111CE576" w14:textId="5AE36B7B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Polytechnic Institute of Coimbra – Superior Institute of Accounting and Administration of Coimbra, hereinafter referred </w:t>
      </w:r>
      <w:r w:rsidR="0008456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to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as Coimbra Business School | ISCAC, placed at Quinta Agrícola, 304</w:t>
      </w:r>
      <w:r w:rsidR="00782A5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5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-</w:t>
      </w:r>
      <w:r w:rsidR="00782A5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601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tax payer number 600027350, represented in this act by its President, Alexandre Miguel Gomes da Silva</w:t>
      </w:r>
      <w:r w:rsidR="009B72B3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PhD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in accordance with Article 18, section 1 c) of ISCAC’s statutes and in use of its own competence</w:t>
      </w:r>
    </w:p>
    <w:p w14:paraId="60942989" w14:textId="2CF48EAE" w:rsidR="00BD539D" w:rsidRPr="00B3719C" w:rsidRDefault="00BD539D" w:rsidP="00BD539D">
      <w:pPr>
        <w:pStyle w:val="Ttulo"/>
        <w:spacing w:after="120"/>
        <w:jc w:val="both"/>
        <w:rPr>
          <w:rFonts w:asciiTheme="majorHAnsi" w:hAnsiTheme="majorHAnsi"/>
          <w:b w:val="0"/>
          <w:bCs/>
          <w:szCs w:val="22"/>
          <w:lang w:val="en-GB"/>
        </w:rPr>
      </w:pPr>
      <w:r w:rsidRPr="00B3719C">
        <w:rPr>
          <w:rFonts w:asciiTheme="majorHAnsi" w:hAnsiTheme="majorHAnsi"/>
          <w:b w:val="0"/>
          <w:bCs/>
          <w:szCs w:val="22"/>
          <w:lang w:val="en-GB"/>
        </w:rPr>
        <w:t xml:space="preserve">and </w:t>
      </w:r>
    </w:p>
    <w:p w14:paraId="2F0A5E96" w14:textId="6C69EC5C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_____________________________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hereinafter referred</w:t>
      </w:r>
      <w:r w:rsidR="0008456B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to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as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placed at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tax payer number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represented in this act by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_______________________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in the quality of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makes up the present protocol aiming the regulation of the traineeship undertaken under the Master’s non-academic curricular unit, taught at 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Coimbra Business School | ISCAC</w:t>
      </w:r>
    </w:p>
    <w:p w14:paraId="3BDB76F6" w14:textId="0AB8A0EB" w:rsidR="00BD539D" w:rsidRPr="00B3719C" w:rsidRDefault="00752B4B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and</w:t>
      </w:r>
      <w:r w:rsidR="00BD539D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  </w:t>
      </w:r>
    </w:p>
    <w:p w14:paraId="6D6F865E" w14:textId="0E6C5FFE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________________________,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student number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of the Master</w:t>
      </w:r>
      <w:r w:rsidR="00EF1EDF">
        <w:rPr>
          <w:rFonts w:asciiTheme="majorHAnsi" w:eastAsia="Calibri" w:hAnsiTheme="majorHAnsi" w:cs="Courier New"/>
          <w:bCs/>
          <w:sz w:val="22"/>
          <w:szCs w:val="22"/>
          <w:lang w:val="en-GB"/>
        </w:rPr>
        <w:t>s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in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__________________ 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holder of the identification card number 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______________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____</w:t>
      </w:r>
      <w:r w:rsidR="00752B4B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.</w:t>
      </w:r>
    </w:p>
    <w:p w14:paraId="6A82BD88" w14:textId="4EA01243" w:rsidR="00BD539D" w:rsidRPr="00B3719C" w:rsidRDefault="00BD539D" w:rsidP="00752B4B">
      <w:pPr>
        <w:autoSpaceDE w:val="0"/>
        <w:autoSpaceDN w:val="0"/>
        <w:adjustRightInd w:val="0"/>
        <w:spacing w:after="120" w:line="360" w:lineRule="auto"/>
        <w:rPr>
          <w:rFonts w:asciiTheme="majorHAnsi" w:eastAsia="Calibri" w:hAnsiTheme="majorHAnsi" w:cs="Courier New"/>
          <w:b/>
          <w:bCs/>
          <w:lang w:val="en-GB"/>
        </w:rPr>
      </w:pPr>
    </w:p>
    <w:p w14:paraId="34ADEE23" w14:textId="2B02C00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Obje</w:t>
      </w:r>
      <w:r w:rsidR="00752B4B"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c</w:t>
      </w:r>
      <w:r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t</w:t>
      </w:r>
    </w:p>
    <w:p w14:paraId="762EDEE7" w14:textId="7366D6A3" w:rsidR="00BD539D" w:rsidRPr="00B3719C" w:rsidRDefault="00752B4B" w:rsidP="003A4487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Through the present protocol, the entity agrees with the terms in which it will provide curricular traineeships to second cycle students, in order to optimise/complement their academic training. </w:t>
      </w:r>
    </w:p>
    <w:p w14:paraId="4B4519F5" w14:textId="77777777" w:rsidR="003A4487" w:rsidRPr="00B3719C" w:rsidRDefault="003A4487" w:rsidP="003A4487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</w:p>
    <w:p w14:paraId="7F2A4398" w14:textId="547ADC30" w:rsidR="00BD539D" w:rsidRPr="00B3719C" w:rsidRDefault="003A4487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/>
          <w:sz w:val="22"/>
          <w:szCs w:val="22"/>
          <w:lang w:val="en-GB"/>
        </w:rPr>
        <w:t>Nature and duration of the traineeship</w:t>
      </w:r>
    </w:p>
    <w:p w14:paraId="13700BD8" w14:textId="1EB661F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1- </w:t>
      </w:r>
      <w:r w:rsidR="003A4487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The traineeship makes part of the curricular requirements that the students have to </w:t>
      </w:r>
      <w:r w:rsidR="00B3719C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fulfil</w:t>
      </w:r>
      <w:r w:rsidR="003A4487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in order to obtain a Master’s Degree in 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________________________ </w:t>
      </w:r>
      <w:r w:rsidR="003A4487"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>at</w:t>
      </w:r>
      <w:r w:rsidRPr="00B3719C">
        <w:rPr>
          <w:rFonts w:asciiTheme="majorHAnsi" w:eastAsia="Calibri" w:hAnsiTheme="majorHAnsi" w:cs="Courier New"/>
          <w:bCs/>
          <w:sz w:val="22"/>
          <w:szCs w:val="22"/>
          <w:lang w:val="en-GB"/>
        </w:rPr>
        <w:t xml:space="preserve"> Coimbra Business School | ISCAC;</w:t>
      </w:r>
    </w:p>
    <w:p w14:paraId="4C83070E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  <w:lang w:val="en-GB"/>
        </w:rPr>
      </w:pPr>
    </w:p>
    <w:p w14:paraId="59B276A8" w14:textId="632CFB13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2- </w:t>
      </w:r>
      <w:r w:rsidR="003A4487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This traineeship should focus on the profile, technical skills and professional qualifications defined for a Master in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_______________________________</w:t>
      </w:r>
      <w:r w:rsidR="003A4487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, being adequate to the complexity degree defined for the Master’s non-academic curricular unit. </w:t>
      </w:r>
    </w:p>
    <w:p w14:paraId="2E7EEB51" w14:textId="4FA9040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lastRenderedPageBreak/>
        <w:t xml:space="preserve">3-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traineeship foreseen in the present protocol will take place from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___________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until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with a total duration of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 ho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urs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5616458F" w14:textId="5A705B1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4-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traineeship will be cancelled whenever there is an annulation of the student’s registration. </w:t>
      </w:r>
    </w:p>
    <w:p w14:paraId="2F777590" w14:textId="64C7AE16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14E5DD65" w14:textId="1FD6359A" w:rsidR="00BD539D" w:rsidRPr="00B3719C" w:rsidRDefault="00135D9E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Traineeship Regulation</w:t>
      </w:r>
    </w:p>
    <w:p w14:paraId="516B3B7D" w14:textId="7EFDA768" w:rsidR="00BD539D" w:rsidRPr="00B3719C" w:rsidRDefault="00001439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According to the Master Degrees Regulation, t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he norms and procedures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that make part of this protocol and that have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to be adopted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are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following: </w:t>
      </w:r>
    </w:p>
    <w:p w14:paraId="19D61569" w14:textId="043A4AC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Traineeship’s aims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45001F4E" w14:textId="63867E3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b) Coo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rdination and supervision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30BDDC16" w14:textId="6BB9FB68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Competencies and responsibilities of the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’s supervisor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7EB10F48" w14:textId="3E5BE9AD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d) Compet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encies and responsibilities of the organization’s supervisor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69A42E72" w14:textId="7CC891C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Traineeship’s duration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5A96BDD4" w14:textId="6A9D1BD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f) </w:t>
      </w:r>
      <w:r w:rsidR="00135D9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Trainee’s rights and duties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62A6ED1E" w14:textId="77777777" w:rsidR="00001439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g)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Trainee’s assessment.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</w:p>
    <w:p w14:paraId="08D3F60D" w14:textId="40E5CB8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46930061" w14:textId="388B1E36" w:rsidR="00BD539D" w:rsidRPr="00B3719C" w:rsidRDefault="00001439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>Obligations</w:t>
      </w:r>
      <w:r w:rsidR="009B72B3">
        <w:rPr>
          <w:rFonts w:asciiTheme="majorHAnsi" w:eastAsia="Calibri" w:hAnsiTheme="majorHAnsi" w:cstheme="majorHAnsi"/>
          <w:b/>
          <w:sz w:val="22"/>
          <w:szCs w:val="22"/>
          <w:lang w:val="en-GB"/>
        </w:rPr>
        <w:t xml:space="preserve"> of the Entity</w:t>
      </w:r>
    </w:p>
    <w:p w14:paraId="108250CC" w14:textId="311FA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1–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entity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must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:</w:t>
      </w:r>
    </w:p>
    <w:p w14:paraId="7262677D" w14:textId="78E4BC1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Indicate, for each case, the responsible person for the welcoming and technical supervision of the trainees (supervisor);</w:t>
      </w:r>
    </w:p>
    <w:p w14:paraId="44292E41" w14:textId="268E422A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b) C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ollaborate with the traineeship’s supervisors from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ISCAC;</w:t>
      </w:r>
    </w:p>
    <w:p w14:paraId="7AE05996" w14:textId="38670CC3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Create with each trainee a Traineeship Plan; </w:t>
      </w:r>
    </w:p>
    <w:p w14:paraId="0BD9D7DD" w14:textId="7EE7342C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d)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Fill in the necessary documents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for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</w:t>
      </w:r>
      <w:r w:rsidR="009B72B3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formalisation of the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trainee’s application; </w:t>
      </w:r>
    </w:p>
    <w:p w14:paraId="3F3B033D" w14:textId="22EC654E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Provide trainees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with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 traineeship plan which can be an added value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for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their training and which can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also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allow them </w:t>
      </w:r>
      <w:r w:rsidR="007729DB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to access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necessary means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in order to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effectively fulfil their training programs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55F81FB7" w14:textId="3D276F6A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Keep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Coimbra Business School | ISCAC </w:t>
      </w:r>
      <w:r w:rsidR="000014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informed about the trainees’ performance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2AE5802E" w14:textId="1B39AB81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lastRenderedPageBreak/>
        <w:t xml:space="preserve">f)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Issue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a certificate,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</w:t>
      </w:r>
      <w:r w:rsidR="00313EA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 the end of the traineeship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,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specif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ying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the nature and duration of the tasks performed by the student, as well as an assessment document.</w:t>
      </w:r>
    </w:p>
    <w:p w14:paraId="4173303D" w14:textId="7C261123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2-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entity does not have to:</w:t>
      </w:r>
    </w:p>
    <w:p w14:paraId="7B0E7198" w14:textId="58208E8D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Establish a professional link with the trainees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7428C176" w14:textId="7C3DAF7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b)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Pay any remuneration related to the traineeships undertaken under the scope of the present protocol. </w:t>
      </w:r>
    </w:p>
    <w:p w14:paraId="5A92C5C6" w14:textId="0F95C170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4BBA2B26" w14:textId="45BF881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>Ob</w:t>
      </w:r>
      <w:r w:rsidR="00B9311A"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 xml:space="preserve">ligations of </w:t>
      </w:r>
      <w:r w:rsidRPr="00B3719C">
        <w:rPr>
          <w:rFonts w:asciiTheme="majorHAnsi" w:eastAsia="Calibri" w:hAnsiTheme="majorHAnsi" w:cstheme="majorHAnsi"/>
          <w:b/>
          <w:sz w:val="22"/>
          <w:szCs w:val="22"/>
          <w:lang w:val="en-GB"/>
        </w:rPr>
        <w:t>Coimbra Business School | ISCAC</w:t>
      </w:r>
    </w:p>
    <w:p w14:paraId="40163210" w14:textId="0B499769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Coimbra Business School | ISCAC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must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:</w:t>
      </w:r>
    </w:p>
    <w:p w14:paraId="2E8B60D0" w14:textId="638A3646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Give the entity the identification of the students that have been selected to do the traineeships at the latest 10 working days before the traineeship; </w:t>
      </w:r>
    </w:p>
    <w:p w14:paraId="340DCC9A" w14:textId="28CB4A18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b)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Approve the traineeship’s plan presented by the trainee after the Institution’s validation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106EFCE6" w14:textId="188AE2B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Designate the traineeship’s supervisor(s), who have to scientifically and pedagogically supervise the trainees and also meet with the Institution’s supervisor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0CE8CBF0" w14:textId="4F5C79EC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d) </w:t>
      </w:r>
      <w:r w:rsidR="00B9311A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Assess, both pedagogically and scientifically, the traineeships’ results, bearing in mind that the traineeship has an assessment process associated with it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, in the form of public </w:t>
      </w:r>
      <w:r w:rsidR="00B3719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defence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with a jury (as it is a curricular unit of the corresponding Master).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jury’s composition has to follow the Article 22, Decree-Law 74/2006 of 24</w:t>
      </w:r>
      <w:r w:rsidR="00515B0E" w:rsidRPr="00313EAA">
        <w:rPr>
          <w:rFonts w:asciiTheme="majorHAnsi" w:eastAsia="Calibri" w:hAnsiTheme="majorHAnsi" w:cstheme="majorHAnsi"/>
          <w:bCs/>
          <w:sz w:val="22"/>
          <w:szCs w:val="22"/>
          <w:vertAlign w:val="superscript"/>
          <w:lang w:val="en-GB"/>
        </w:rPr>
        <w:t>th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March, as well as to the rules foreseen in the Master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Degrees</w:t>
      </w:r>
      <w:r w:rsidR="00515B0E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Regulation of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ISCAC.</w:t>
      </w:r>
    </w:p>
    <w:p w14:paraId="59E47B7F" w14:textId="5DB30C50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e) 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Keep the students’ insurance during the period of time in which the traineeship takes place. The entity is n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either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responsible for or has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duty 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to pay for any accident taking place during that period of time. </w:t>
      </w:r>
    </w:p>
    <w:p w14:paraId="2D6291A7" w14:textId="2A5CB4C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Coimbra Business School | ISCAC </w:t>
      </w:r>
      <w:r w:rsidR="00227239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must keep confidentiality regarding the Institution’s elements indicated by it. </w:t>
      </w:r>
    </w:p>
    <w:p w14:paraId="397A7754" w14:textId="1C07BED2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2A40AC2E" w14:textId="2E312065" w:rsidR="00BD539D" w:rsidRPr="00B3719C" w:rsidRDefault="00313EAA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O</w:t>
      </w:r>
      <w:r w:rsidR="00227239"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bligations</w:t>
      </w:r>
      <w:r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 xml:space="preserve"> of the trainees</w:t>
      </w:r>
    </w:p>
    <w:p w14:paraId="0E1A3250" w14:textId="5494F7E6" w:rsidR="00BD539D" w:rsidRPr="00B3719C" w:rsidRDefault="00430FDB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trainee must:</w:t>
      </w:r>
    </w:p>
    <w:p w14:paraId="1E08D31F" w14:textId="7E28740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a) </w:t>
      </w:r>
      <w:r w:rsidR="00430FDB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Follow the entity’s rules of procedure, namely as far as scheduling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, good use of equipment and other materials that may be at their responsibility are concerned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;</w:t>
      </w:r>
    </w:p>
    <w:p w14:paraId="53981E9B" w14:textId="5B3096EA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b)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Follow the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’s Master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Degrees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Regulation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0DDB120E" w14:textId="120FD2B0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lastRenderedPageBreak/>
        <w:t xml:space="preserve">c)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trainees must keep confidentiality regarding the entity’s processes that they may have access to during the traineeship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28504C39" w14:textId="3C9213A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2B88F5D5" w14:textId="5FD30B40" w:rsidR="00BD539D" w:rsidRPr="00B3719C" w:rsidRDefault="003C1DA2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Term</w:t>
      </w:r>
    </w:p>
    <w:p w14:paraId="404BBF06" w14:textId="203B5C5B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1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–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The present protocol comes into force at the beginning of the traineeship and ends when the student submits their Traineeship’s Report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.</w:t>
      </w:r>
    </w:p>
    <w:p w14:paraId="34EC306F" w14:textId="4089D1D4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2 –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parties can unilaterally end this protocol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at </w:t>
      </w:r>
      <w:r w:rsidR="003C1DA2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any time, at least 8 days in advance, </w:t>
      </w:r>
      <w:r w:rsidR="003C1DA2" w:rsidRPr="00B3719C">
        <w:rPr>
          <w:rFonts w:asciiTheme="majorHAnsi" w:hAnsiTheme="majorHAnsi" w:cstheme="majorHAnsi"/>
          <w:sz w:val="22"/>
          <w:szCs w:val="20"/>
          <w:lang w:val="en-GB"/>
        </w:rPr>
        <w:t>as long as the traineeship development comes out to be harmful for the host entity’s normal functioning or if the present protocol’s obligations are not respected.</w:t>
      </w:r>
    </w:p>
    <w:p w14:paraId="640AD156" w14:textId="1B6B4E78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lang w:val="en-GB"/>
        </w:rPr>
      </w:pPr>
    </w:p>
    <w:p w14:paraId="0E0DC73B" w14:textId="798E61F4" w:rsidR="00BD539D" w:rsidRPr="00B3719C" w:rsidRDefault="006A0823" w:rsidP="00BD539D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/>
          <w:bCs/>
          <w:sz w:val="22"/>
          <w:szCs w:val="22"/>
          <w:lang w:val="en-GB"/>
        </w:rPr>
        <w:t>Final provisions</w:t>
      </w:r>
    </w:p>
    <w:p w14:paraId="1A855CED" w14:textId="78AC56D1" w:rsidR="005B72EC" w:rsidRPr="00B3719C" w:rsidRDefault="00BD539D" w:rsidP="005B72EC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1 </w:t>
      </w:r>
      <w:r w:rsidR="006A0823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–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6A0823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The present protocol’s omissions shall be settled by a parties’ mutual decision, 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following the Master</w:t>
      </w:r>
      <w:r w:rsidR="00F96AE1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</w:t>
      </w:r>
      <w:r w:rsidR="00313EAA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Degrees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Regulation of Coimbra Business School | ISCAC and other applicable legislation.</w:t>
      </w:r>
    </w:p>
    <w:p w14:paraId="54CA7FD4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7796D4E2" w14:textId="7FE1A0C6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Coimbra, ____ 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_________________ 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 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</w:t>
      </w:r>
    </w:p>
    <w:p w14:paraId="7071DF61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5B93810D" w14:textId="4AC54ED4" w:rsidR="00BD539D" w:rsidRPr="00B3719C" w:rsidRDefault="005B72EC" w:rsidP="00BD539D">
      <w:pPr>
        <w:pStyle w:val="Ttulo"/>
        <w:spacing w:after="120"/>
        <w:jc w:val="both"/>
        <w:rPr>
          <w:rFonts w:asciiTheme="majorHAnsi" w:hAnsiTheme="majorHAnsi" w:cstheme="majorHAnsi"/>
          <w:b w:val="0"/>
          <w:bCs/>
          <w:szCs w:val="22"/>
          <w:lang w:val="en-GB"/>
        </w:rPr>
      </w:pPr>
      <w:r w:rsidRPr="00B3719C">
        <w:rPr>
          <w:rFonts w:asciiTheme="majorHAnsi" w:hAnsiTheme="majorHAnsi" w:cstheme="majorHAnsi"/>
          <w:b w:val="0"/>
          <w:bCs/>
          <w:szCs w:val="22"/>
          <w:lang w:val="en-GB"/>
        </w:rPr>
        <w:t>The parties</w:t>
      </w:r>
      <w:r w:rsidR="00BD539D" w:rsidRPr="00B3719C">
        <w:rPr>
          <w:rFonts w:asciiTheme="majorHAnsi" w:hAnsiTheme="majorHAnsi" w:cstheme="majorHAnsi"/>
          <w:b w:val="0"/>
          <w:bCs/>
          <w:szCs w:val="22"/>
          <w:lang w:val="en-GB"/>
        </w:rPr>
        <w:t>:</w:t>
      </w:r>
    </w:p>
    <w:p w14:paraId="44CAB075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bookmarkStart w:id="1" w:name="_Hlk26869203"/>
    </w:p>
    <w:p w14:paraId="2EE03F16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Coimbra Business School | ISCAC _________________________________________</w:t>
      </w:r>
    </w:p>
    <w:p w14:paraId="6BE10CE0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33B7DE11" w14:textId="1576C86F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Enti</w:t>
      </w:r>
      <w:r w:rsidR="005B72EC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ty</w:t>
      </w: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________________________________________</w:t>
      </w:r>
    </w:p>
    <w:p w14:paraId="2FCF1336" w14:textId="77777777" w:rsidR="00BD539D" w:rsidRPr="00B3719C" w:rsidRDefault="00BD539D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</w:p>
    <w:p w14:paraId="3620BAB6" w14:textId="48DC32C2" w:rsidR="00BD539D" w:rsidRPr="00B3719C" w:rsidRDefault="005B72EC" w:rsidP="00BD539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val="en-GB"/>
        </w:rPr>
      </w:pPr>
      <w:r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>Student</w:t>
      </w:r>
      <w:r w:rsidR="00BD539D" w:rsidRPr="00B3719C">
        <w:rPr>
          <w:rFonts w:asciiTheme="majorHAnsi" w:eastAsia="Calibri" w:hAnsiTheme="majorHAnsi" w:cstheme="majorHAnsi"/>
          <w:bCs/>
          <w:sz w:val="22"/>
          <w:szCs w:val="22"/>
          <w:lang w:val="en-GB"/>
        </w:rPr>
        <w:t xml:space="preserve"> ___________________________________________</w:t>
      </w:r>
    </w:p>
    <w:bookmarkEnd w:id="1"/>
    <w:p w14:paraId="20A7A585" w14:textId="77777777" w:rsidR="00BD539D" w:rsidRPr="00B3719C" w:rsidRDefault="00BD539D" w:rsidP="00BD539D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B3719C">
        <w:rPr>
          <w:rFonts w:asciiTheme="majorHAnsi" w:hAnsiTheme="majorHAnsi" w:cstheme="majorHAnsi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5AB24" wp14:editId="55037D63">
                <wp:simplePos x="0" y="0"/>
                <wp:positionH relativeFrom="column">
                  <wp:posOffset>5495290</wp:posOffset>
                </wp:positionH>
                <wp:positionV relativeFrom="paragraph">
                  <wp:posOffset>8455660</wp:posOffset>
                </wp:positionV>
                <wp:extent cx="1127573" cy="768544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73" cy="768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03A49" w14:textId="77777777" w:rsidR="00BD539D" w:rsidRPr="0032035E" w:rsidRDefault="00BD539D" w:rsidP="00BD539D">
                            <w:pPr>
                              <w:spacing w:line="276" w:lineRule="auto"/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Coimbra Business School | ISCAC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Quinta Agrícola – Bencanta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3045-231 Coimbra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Tel +351 239 802 000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E-mail: secretariado@iscac.pt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www.iscac.pt</w:t>
                            </w:r>
                          </w:p>
                          <w:p w14:paraId="1808A42A" w14:textId="77777777" w:rsidR="00BD539D" w:rsidRDefault="00BD539D" w:rsidP="00BD5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A85AB2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32.7pt;margin-top:665.8pt;width:88.8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" fillcolor="white [3201]" stroked="f" strokeweight=".5pt">
                <v:textbox>
                  <w:txbxContent>
                    <w:p w14:paraId="01403A49" w14:textId="77777777" w:rsidR="00BD539D" w:rsidRPr="0032035E" w:rsidRDefault="00BD539D" w:rsidP="00BD539D">
                      <w:pPr>
                        <w:spacing w:line="276" w:lineRule="auto"/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</w:pP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t>Coimbra Business School | ISCAC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Quinta Agrícola – Bencanta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3045-231 Coimbra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Tel +351 239 802 000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E-mail: secretariado@iscac.pt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www.iscac.pt</w:t>
                      </w:r>
                    </w:p>
                    <w:p w14:paraId="1808A42A" w14:textId="77777777" w:rsidR="00BD539D" w:rsidRDefault="00BD539D" w:rsidP="00BD539D"/>
                  </w:txbxContent>
                </v:textbox>
              </v:shape>
            </w:pict>
          </mc:Fallback>
        </mc:AlternateContent>
      </w:r>
    </w:p>
    <w:p w14:paraId="357FC3A3" w14:textId="77777777" w:rsidR="00DA448A" w:rsidRPr="00B3719C" w:rsidRDefault="00DA448A">
      <w:pPr>
        <w:rPr>
          <w:lang w:val="en-GB"/>
        </w:rPr>
      </w:pPr>
    </w:p>
    <w:sectPr w:rsidR="00DA448A" w:rsidRPr="00B3719C" w:rsidSect="00BD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9A0B" w14:textId="77777777" w:rsidR="00DB2AF5" w:rsidRDefault="00DB2AF5">
      <w:r>
        <w:separator/>
      </w:r>
    </w:p>
  </w:endnote>
  <w:endnote w:type="continuationSeparator" w:id="0">
    <w:p w14:paraId="2846F182" w14:textId="77777777" w:rsidR="00DB2AF5" w:rsidRDefault="00D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F07A" w14:textId="77777777" w:rsidR="002A4A28" w:rsidRDefault="002A4A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p w14:paraId="3BD93435" w14:textId="6282F07E" w:rsidR="0004600B" w:rsidRDefault="0004600B" w:rsidP="0004600B">
        <w:pPr>
          <w:pStyle w:val="Rodap"/>
          <w:rPr>
            <w:rFonts w:asciiTheme="majorHAnsi" w:hAnsiTheme="majorHAnsi"/>
            <w:sz w:val="20"/>
            <w:szCs w:val="20"/>
          </w:rPr>
        </w:pPr>
      </w:p>
      <w:p w14:paraId="0C920A43" w14:textId="382488ED" w:rsidR="0004600B" w:rsidRDefault="0004600B" w:rsidP="0018328B">
        <w:pPr>
          <w:pStyle w:val="Rodap"/>
          <w:ind w:left="-142"/>
          <w:rPr>
            <w:rFonts w:asciiTheme="majorHAnsi" w:hAnsiTheme="majorHAnsi"/>
            <w:sz w:val="20"/>
            <w:szCs w:val="20"/>
          </w:rPr>
        </w:pPr>
      </w:p>
      <w:p w14:paraId="38447109" w14:textId="77777777" w:rsidR="00B932EC" w:rsidRDefault="00DB2AF5" w:rsidP="0018328B">
        <w:pPr>
          <w:pStyle w:val="Rodap"/>
          <w:ind w:left="-142"/>
          <w:rPr>
            <w:rFonts w:asciiTheme="majorHAnsi" w:hAnsiTheme="majorHAnsi"/>
            <w:sz w:val="20"/>
            <w:szCs w:val="20"/>
          </w:rPr>
        </w:pPr>
      </w:p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0"/>
      <w:gridCol w:w="390"/>
      <w:gridCol w:w="4676"/>
    </w:tblGrid>
    <w:tr w:rsidR="00346146" w14:paraId="5512DFBB" w14:textId="77777777" w:rsidTr="00670676">
      <w:tc>
        <w:tcPr>
          <w:tcW w:w="2401" w:type="pct"/>
        </w:tcPr>
        <w:sdt>
          <w:sdtPr>
            <w:rPr>
              <w:rFonts w:asciiTheme="majorHAnsi" w:hAnsiTheme="majorHAnsi"/>
              <w:sz w:val="20"/>
              <w:szCs w:val="20"/>
            </w:rPr>
            <w:id w:val="-621234405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14:paraId="34B12B21" w14:textId="77777777" w:rsidR="00346146" w:rsidRDefault="00EF1EDF" w:rsidP="00346146">
              <w:pPr>
                <w:pStyle w:val="Rodap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begin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nstrText xml:space="preserve"> PAGE </w:instrTex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end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de 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begin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nstrText xml:space="preserve"> NUMPAGES </w:instrTex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2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end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</w:p>
            <w:p w14:paraId="0BD0680F" w14:textId="1CFB88D8" w:rsidR="00346146" w:rsidRDefault="00EF1EDF" w:rsidP="00346146">
              <w:pPr>
                <w:pStyle w:val="Rodap"/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</w:pPr>
              <w:r w:rsidRPr="00F86B48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Mod5</w:t>
              </w:r>
              <w:r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.5</w:t>
              </w:r>
              <w:r w:rsidR="00782A5A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03</w:t>
              </w:r>
              <w:r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_00</w:t>
              </w:r>
              <w:r w:rsidR="002A4A28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 xml:space="preserve"> EN</w:t>
              </w:r>
            </w:p>
            <w:p w14:paraId="5534BD79" w14:textId="68959C2C" w:rsidR="00346146" w:rsidRDefault="009544CF" w:rsidP="00346146">
              <w:pPr>
                <w:pStyle w:val="Rodap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rFonts w:asciiTheme="majorHAnsi" w:hAnsiTheme="majorHAnsi"/>
                  <w:sz w:val="16"/>
                </w:rPr>
                <w:t>INTERNAL QUALITY ASSURANCE SYSTEM</w:t>
              </w:r>
            </w:p>
          </w:sdtContent>
        </w:sdt>
      </w:tc>
      <w:tc>
        <w:tcPr>
          <w:tcW w:w="200" w:type="pct"/>
        </w:tcPr>
        <w:p w14:paraId="6355A35F" w14:textId="77777777" w:rsidR="00346146" w:rsidRDefault="00DB2AF5" w:rsidP="00346146">
          <w:pPr>
            <w:pStyle w:val="Rodap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7695A3C" w14:textId="77777777" w:rsidR="00346146" w:rsidRPr="00F86B48" w:rsidRDefault="00EF1EDF" w:rsidP="00346146">
          <w:pPr>
            <w:pStyle w:val="Rodap"/>
            <w:jc w:val="right"/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</w:pP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Coimbra Business </w:t>
          </w:r>
          <w:proofErr w:type="spellStart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School</w:t>
          </w:r>
          <w:proofErr w:type="spellEnd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 | ISCAC</w:t>
          </w:r>
        </w:p>
        <w:p w14:paraId="4FB7B11F" w14:textId="12BC1750" w:rsidR="00346146" w:rsidRPr="00F86B48" w:rsidRDefault="00EF1EDF" w:rsidP="00346146">
          <w:pPr>
            <w:pStyle w:val="Rodap"/>
            <w:jc w:val="right"/>
            <w:rPr>
              <w:caps/>
              <w:color w:val="4472C4" w:themeColor="accent1"/>
              <w:sz w:val="16"/>
              <w:szCs w:val="16"/>
            </w:rPr>
          </w:pP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Quinta Agrícola – Bencanta, 3045-</w:t>
          </w:r>
          <w:r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601</w:t>
          </w: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 Coimbra</w:t>
          </w: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br/>
          </w:r>
          <w:proofErr w:type="spellStart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Tel</w:t>
          </w:r>
          <w:proofErr w:type="spellEnd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 +351 239 802 000; E-mail: </w:t>
          </w:r>
          <w:hyperlink r:id="rId1" w:history="1">
            <w:r w:rsidR="00AC093D" w:rsidRPr="00F37D80">
              <w:rPr>
                <w:rStyle w:val="Hiperligao"/>
                <w:rFonts w:asciiTheme="majorHAnsi" w:hAnsiTheme="majorHAnsi"/>
                <w:sz w:val="16"/>
              </w:rPr>
              <w:t>presidencia@iscac.pt</w:t>
            </w:r>
          </w:hyperlink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; www.iscac.pt </w:t>
          </w:r>
        </w:p>
      </w:tc>
    </w:tr>
  </w:tbl>
  <w:p w14:paraId="501DF13C" w14:textId="77777777" w:rsidR="00B932EC" w:rsidRPr="00F45049" w:rsidRDefault="00DB2AF5" w:rsidP="00346146">
    <w:pPr>
      <w:pStyle w:val="Rodap"/>
      <w:ind w:left="-142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83B6" w14:textId="77777777" w:rsidR="002A4A28" w:rsidRDefault="002A4A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0315" w14:textId="77777777" w:rsidR="00DB2AF5" w:rsidRDefault="00DB2AF5">
      <w:r>
        <w:separator/>
      </w:r>
    </w:p>
  </w:footnote>
  <w:footnote w:type="continuationSeparator" w:id="0">
    <w:p w14:paraId="270D954C" w14:textId="77777777" w:rsidR="00DB2AF5" w:rsidRDefault="00DB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446F" w14:textId="77777777" w:rsidR="002A4A28" w:rsidRDefault="002A4A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3E5A" w14:textId="77777777" w:rsidR="001F5992" w:rsidRPr="001F5992" w:rsidRDefault="00EF1EDF" w:rsidP="006E2A5E">
    <w:pPr>
      <w:pStyle w:val="Cabealho"/>
      <w:tabs>
        <w:tab w:val="clear" w:pos="4252"/>
        <w:tab w:val="clear" w:pos="8504"/>
        <w:tab w:val="left" w:pos="1140"/>
      </w:tabs>
      <w:jc w:val="left"/>
    </w:pPr>
    <w:r>
      <w:drawing>
        <wp:anchor distT="0" distB="0" distL="114300" distR="114300" simplePos="0" relativeHeight="251659264" behindDoc="1" locked="0" layoutInCell="1" allowOverlap="1" wp14:anchorId="2C3C977A" wp14:editId="2B8BF2F8">
          <wp:simplePos x="0" y="0"/>
          <wp:positionH relativeFrom="margin">
            <wp:posOffset>19050</wp:posOffset>
          </wp:positionH>
          <wp:positionV relativeFrom="topMargin">
            <wp:posOffset>352425</wp:posOffset>
          </wp:positionV>
          <wp:extent cx="6153150" cy="447040"/>
          <wp:effectExtent l="0" t="0" r="0" b="0"/>
          <wp:wrapTight wrapText="bothSides">
            <wp:wrapPolygon edited="0">
              <wp:start x="0" y="0"/>
              <wp:lineTo x="0" y="20250"/>
              <wp:lineTo x="21533" y="20250"/>
              <wp:lineTo x="2153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45" b="26666"/>
                  <a:stretch/>
                </pic:blipFill>
                <pic:spPr bwMode="auto">
                  <a:xfrm>
                    <a:off x="0" y="0"/>
                    <a:ext cx="615315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A8C5" w14:textId="77777777" w:rsidR="002A4A28" w:rsidRDefault="002A4A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9D"/>
    <w:rsid w:val="00001439"/>
    <w:rsid w:val="00025F8F"/>
    <w:rsid w:val="0004600B"/>
    <w:rsid w:val="0008456B"/>
    <w:rsid w:val="00111FDC"/>
    <w:rsid w:val="00135D9E"/>
    <w:rsid w:val="001412E1"/>
    <w:rsid w:val="00192D6A"/>
    <w:rsid w:val="00204171"/>
    <w:rsid w:val="00227239"/>
    <w:rsid w:val="002A4A28"/>
    <w:rsid w:val="002C6663"/>
    <w:rsid w:val="00313EAA"/>
    <w:rsid w:val="003A4487"/>
    <w:rsid w:val="003C1DA2"/>
    <w:rsid w:val="00430FDB"/>
    <w:rsid w:val="00515B0E"/>
    <w:rsid w:val="00593D08"/>
    <w:rsid w:val="005B72EC"/>
    <w:rsid w:val="005F71E0"/>
    <w:rsid w:val="006A0823"/>
    <w:rsid w:val="00752B4B"/>
    <w:rsid w:val="007729DB"/>
    <w:rsid w:val="00782A5A"/>
    <w:rsid w:val="008C6B6C"/>
    <w:rsid w:val="009113E4"/>
    <w:rsid w:val="009544CF"/>
    <w:rsid w:val="009B72B3"/>
    <w:rsid w:val="00AA66EF"/>
    <w:rsid w:val="00AC093D"/>
    <w:rsid w:val="00B3719C"/>
    <w:rsid w:val="00B9311A"/>
    <w:rsid w:val="00BD539D"/>
    <w:rsid w:val="00DA448A"/>
    <w:rsid w:val="00DB2AF5"/>
    <w:rsid w:val="00EF1EDF"/>
    <w:rsid w:val="00F716BC"/>
    <w:rsid w:val="00F77C84"/>
    <w:rsid w:val="00F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B1A"/>
  <w15:chartTrackingRefBased/>
  <w15:docId w15:val="{FC70E496-7AEA-4C73-98F5-795A97C6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D539D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rsid w:val="00BD539D"/>
    <w:rPr>
      <w:rFonts w:ascii="Arial" w:eastAsia="Times New Roman" w:hAnsi="Arial" w:cs="Arial"/>
      <w:b/>
      <w:noProof/>
      <w:sz w:val="20"/>
      <w:szCs w:val="20"/>
      <w:lang w:val="pt-PT" w:eastAsia="pt-PT"/>
    </w:rPr>
  </w:style>
  <w:style w:type="paragraph" w:styleId="Rodap">
    <w:name w:val="footer"/>
    <w:basedOn w:val="Normal"/>
    <w:link w:val="RodapCarter"/>
    <w:uiPriority w:val="99"/>
    <w:rsid w:val="00BD53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539D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">
    <w:name w:val="Title"/>
    <w:basedOn w:val="Normal"/>
    <w:link w:val="TtuloCarter"/>
    <w:uiPriority w:val="99"/>
    <w:qFormat/>
    <w:rsid w:val="00BD539D"/>
    <w:pPr>
      <w:spacing w:line="360" w:lineRule="auto"/>
      <w:jc w:val="center"/>
    </w:pPr>
    <w:rPr>
      <w:b/>
      <w:sz w:val="22"/>
      <w:szCs w:val="20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BD539D"/>
    <w:rPr>
      <w:rFonts w:ascii="Times New Roman" w:eastAsia="Times New Roman" w:hAnsi="Times New Roman" w:cs="Times New Roman"/>
      <w:b/>
      <w:szCs w:val="20"/>
      <w:lang w:val="pt-PT" w:eastAsia="pt-PT"/>
    </w:rPr>
  </w:style>
  <w:style w:type="character" w:styleId="Hiperligao">
    <w:name w:val="Hyperlink"/>
    <w:rsid w:val="00AC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ia@iscac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Alzira Garcia</cp:lastModifiedBy>
  <cp:revision>2</cp:revision>
  <dcterms:created xsi:type="dcterms:W3CDTF">2024-06-26T13:57:00Z</dcterms:created>
  <dcterms:modified xsi:type="dcterms:W3CDTF">2024-06-26T13:57:00Z</dcterms:modified>
</cp:coreProperties>
</file>